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0B" w:rsidRPr="00012500" w:rsidRDefault="0015230B" w:rsidP="003F2531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bookmarkStart w:id="0" w:name="_GoBack"/>
      <w:bookmarkEnd w:id="0"/>
      <w:r w:rsidRPr="0001250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57886">
        <w:rPr>
          <w:rFonts w:ascii="Arial" w:hAnsi="Arial" w:cs="Arial"/>
          <w:bCs/>
          <w:spacing w:val="-3"/>
          <w:sz w:val="22"/>
          <w:szCs w:val="22"/>
        </w:rPr>
        <w:t xml:space="preserve">Board of the Residential Tenancies Authority (the Board) </w:t>
      </w:r>
      <w:r w:rsidRPr="00012500">
        <w:rPr>
          <w:rFonts w:ascii="Arial" w:hAnsi="Arial" w:cs="Arial"/>
          <w:bCs/>
          <w:spacing w:val="-3"/>
          <w:sz w:val="22"/>
          <w:szCs w:val="22"/>
        </w:rPr>
        <w:t xml:space="preserve">is established under the </w:t>
      </w:r>
      <w:r w:rsidR="00F57886">
        <w:rPr>
          <w:rFonts w:ascii="Arial" w:hAnsi="Arial" w:cs="Arial"/>
          <w:bCs/>
          <w:i/>
          <w:spacing w:val="-3"/>
          <w:sz w:val="22"/>
          <w:szCs w:val="22"/>
        </w:rPr>
        <w:t xml:space="preserve">Residential Tenancies and Rooming Accommodation Act 2008 </w:t>
      </w:r>
      <w:r w:rsidR="00F57886" w:rsidRPr="00D71EC2">
        <w:rPr>
          <w:rFonts w:ascii="Arial" w:hAnsi="Arial" w:cs="Arial"/>
          <w:bCs/>
          <w:spacing w:val="-3"/>
          <w:sz w:val="22"/>
          <w:szCs w:val="22"/>
        </w:rPr>
        <w:t>(RTRA Act)</w:t>
      </w:r>
      <w:r w:rsidR="00F57886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F57886" w:rsidRPr="00F57886">
        <w:rPr>
          <w:rFonts w:ascii="Arial" w:hAnsi="Arial" w:cs="Arial"/>
          <w:bCs/>
          <w:spacing w:val="-3"/>
          <w:sz w:val="22"/>
          <w:szCs w:val="22"/>
        </w:rPr>
        <w:t xml:space="preserve">and is responsible for the way that the Residential Tenancies Authority </w:t>
      </w:r>
      <w:r w:rsidR="00F57886">
        <w:rPr>
          <w:rFonts w:ascii="Arial" w:hAnsi="Arial" w:cs="Arial"/>
          <w:bCs/>
          <w:spacing w:val="-3"/>
          <w:sz w:val="22"/>
          <w:szCs w:val="22"/>
        </w:rPr>
        <w:t xml:space="preserve">(RTA) </w:t>
      </w:r>
      <w:r w:rsidR="00F57886" w:rsidRPr="00F57886">
        <w:rPr>
          <w:rFonts w:ascii="Arial" w:hAnsi="Arial" w:cs="Arial"/>
          <w:bCs/>
          <w:spacing w:val="-3"/>
          <w:sz w:val="22"/>
          <w:szCs w:val="22"/>
        </w:rPr>
        <w:t>performs its functions and exercises its powers</w:t>
      </w:r>
      <w:r w:rsidR="00F57886">
        <w:rPr>
          <w:rFonts w:ascii="Arial" w:hAnsi="Arial" w:cs="Arial"/>
          <w:bCs/>
          <w:spacing w:val="-3"/>
          <w:sz w:val="22"/>
          <w:szCs w:val="22"/>
        </w:rPr>
        <w:t xml:space="preserve">, as well as ensuring the RTA performs its functions in an appropriate, effective and efficient way. </w:t>
      </w:r>
      <w:r w:rsidRPr="0001250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57886" w:rsidRPr="00017820" w:rsidRDefault="0015230B" w:rsidP="003F2531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12500">
        <w:rPr>
          <w:rFonts w:ascii="Arial" w:hAnsi="Arial" w:cs="Arial"/>
          <w:sz w:val="22"/>
          <w:szCs w:val="22"/>
        </w:rPr>
        <w:t xml:space="preserve">The membership of the </w:t>
      </w:r>
      <w:r w:rsidR="00F57886">
        <w:rPr>
          <w:rFonts w:ascii="Arial" w:hAnsi="Arial" w:cs="Arial"/>
          <w:sz w:val="22"/>
          <w:szCs w:val="22"/>
        </w:rPr>
        <w:t>Board comprises a Chairperson and six other Directors and must include representatives of industry and consumer organisations.</w:t>
      </w:r>
    </w:p>
    <w:p w:rsidR="003F2531" w:rsidRPr="003F2531" w:rsidRDefault="0015230B" w:rsidP="003F2531">
      <w:pPr>
        <w:numPr>
          <w:ilvl w:val="0"/>
          <w:numId w:val="2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56F84">
        <w:rPr>
          <w:rFonts w:ascii="Arial" w:hAnsi="Arial" w:cs="Arial"/>
          <w:sz w:val="22"/>
          <w:szCs w:val="22"/>
          <w:u w:val="single"/>
        </w:rPr>
        <w:t>Cabinet endorsed</w:t>
      </w:r>
      <w:r w:rsidRPr="00856F84">
        <w:rPr>
          <w:rFonts w:ascii="Arial" w:hAnsi="Arial" w:cs="Arial"/>
          <w:sz w:val="22"/>
          <w:szCs w:val="22"/>
        </w:rPr>
        <w:t xml:space="preserve"> </w:t>
      </w:r>
      <w:r w:rsidR="00017820" w:rsidRPr="00856F84">
        <w:rPr>
          <w:rFonts w:ascii="Arial" w:hAnsi="Arial" w:cs="Arial"/>
          <w:sz w:val="22"/>
          <w:szCs w:val="22"/>
        </w:rPr>
        <w:t>to</w:t>
      </w:r>
      <w:r w:rsidR="003F2531">
        <w:rPr>
          <w:rFonts w:ascii="Arial" w:hAnsi="Arial" w:cs="Arial"/>
          <w:sz w:val="22"/>
          <w:szCs w:val="22"/>
        </w:rPr>
        <w:t xml:space="preserve"> recommending to</w:t>
      </w:r>
      <w:r w:rsidR="00017820" w:rsidRPr="00856F84">
        <w:rPr>
          <w:rFonts w:ascii="Arial" w:hAnsi="Arial" w:cs="Arial"/>
          <w:sz w:val="22"/>
          <w:szCs w:val="22"/>
        </w:rPr>
        <w:t xml:space="preserve"> the Governor in Council </w:t>
      </w:r>
      <w:r w:rsidR="00856F84" w:rsidRPr="00856F84">
        <w:rPr>
          <w:rFonts w:ascii="Arial" w:hAnsi="Arial" w:cs="Arial"/>
          <w:sz w:val="22"/>
          <w:szCs w:val="22"/>
        </w:rPr>
        <w:t>the following appointments</w:t>
      </w:r>
      <w:r w:rsidR="003F2531">
        <w:rPr>
          <w:rFonts w:ascii="Arial" w:hAnsi="Arial" w:cs="Arial"/>
          <w:sz w:val="22"/>
          <w:szCs w:val="22"/>
        </w:rPr>
        <w:t xml:space="preserve"> to the Board of the Residential Tenancies Authority</w:t>
      </w:r>
      <w:r w:rsidR="00856F84" w:rsidRPr="00856F84">
        <w:rPr>
          <w:rFonts w:ascii="Arial" w:hAnsi="Arial" w:cs="Arial"/>
          <w:sz w:val="22"/>
          <w:szCs w:val="22"/>
        </w:rPr>
        <w:t xml:space="preserve">: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1418"/>
        <w:gridCol w:w="4961"/>
      </w:tblGrid>
      <w:tr w:rsidR="004F7A31" w:rsidRPr="009F16DF" w:rsidTr="00441455">
        <w:tc>
          <w:tcPr>
            <w:tcW w:w="2410" w:type="dxa"/>
            <w:shd w:val="clear" w:color="auto" w:fill="auto"/>
          </w:tcPr>
          <w:p w:rsidR="00856F84" w:rsidRPr="00441455" w:rsidRDefault="00856F84" w:rsidP="003F2531">
            <w:pPr>
              <w:spacing w:before="60" w:after="60"/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</w:pPr>
            <w:r w:rsidRPr="00441455"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  <w:t>Name</w:t>
            </w:r>
          </w:p>
        </w:tc>
        <w:tc>
          <w:tcPr>
            <w:tcW w:w="1418" w:type="dxa"/>
            <w:shd w:val="clear" w:color="auto" w:fill="auto"/>
          </w:tcPr>
          <w:p w:rsidR="00856F84" w:rsidRPr="00441455" w:rsidRDefault="00856F84" w:rsidP="003F2531">
            <w:pPr>
              <w:spacing w:before="60" w:after="60"/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</w:pPr>
            <w:r w:rsidRPr="00441455"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  <w:t>Position</w:t>
            </w:r>
          </w:p>
        </w:tc>
        <w:tc>
          <w:tcPr>
            <w:tcW w:w="4961" w:type="dxa"/>
            <w:shd w:val="clear" w:color="auto" w:fill="auto"/>
          </w:tcPr>
          <w:p w:rsidR="00856F84" w:rsidRPr="00441455" w:rsidRDefault="00856F84" w:rsidP="003F2531">
            <w:pPr>
              <w:spacing w:before="60" w:after="60"/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</w:pPr>
            <w:r w:rsidRPr="00441455">
              <w:rPr>
                <w:rFonts w:ascii="Arial" w:hAnsi="Arial" w:cs="Arial"/>
                <w:bCs/>
                <w:spacing w:val="-3"/>
                <w:sz w:val="22"/>
                <w:szCs w:val="22"/>
                <w:u w:val="single"/>
              </w:rPr>
              <w:t>Term</w:t>
            </w:r>
          </w:p>
        </w:tc>
      </w:tr>
      <w:tr w:rsidR="004F7A31" w:rsidRPr="009F16DF" w:rsidTr="00441455">
        <w:tc>
          <w:tcPr>
            <w:tcW w:w="2410" w:type="dxa"/>
            <w:shd w:val="clear" w:color="auto" w:fill="auto"/>
          </w:tcPr>
          <w:p w:rsidR="00856F84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Catherine Sinclair</w:t>
            </w:r>
          </w:p>
        </w:tc>
        <w:tc>
          <w:tcPr>
            <w:tcW w:w="1418" w:type="dxa"/>
            <w:shd w:val="clear" w:color="auto" w:fill="auto"/>
          </w:tcPr>
          <w:p w:rsidR="00856F84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Chairperson</w:t>
            </w:r>
          </w:p>
        </w:tc>
        <w:tc>
          <w:tcPr>
            <w:tcW w:w="4961" w:type="dxa"/>
            <w:shd w:val="clear" w:color="auto" w:fill="auto"/>
          </w:tcPr>
          <w:p w:rsidR="00856F84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One year commencing from 1 November 2016 to 31 October 2017</w:t>
            </w:r>
          </w:p>
        </w:tc>
      </w:tr>
      <w:tr w:rsidR="004F7A31" w:rsidRPr="009F16DF" w:rsidTr="00441455">
        <w:tc>
          <w:tcPr>
            <w:tcW w:w="2410" w:type="dxa"/>
            <w:shd w:val="clear" w:color="auto" w:fill="auto"/>
          </w:tcPr>
          <w:p w:rsidR="00856F84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Deborah Duffy</w:t>
            </w:r>
          </w:p>
        </w:tc>
        <w:tc>
          <w:tcPr>
            <w:tcW w:w="1418" w:type="dxa"/>
            <w:shd w:val="clear" w:color="auto" w:fill="auto"/>
          </w:tcPr>
          <w:p w:rsidR="00856F84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Director</w:t>
            </w:r>
          </w:p>
        </w:tc>
        <w:tc>
          <w:tcPr>
            <w:tcW w:w="4961" w:type="dxa"/>
            <w:shd w:val="clear" w:color="auto" w:fill="auto"/>
          </w:tcPr>
          <w:p w:rsidR="00856F84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One year commencing from 1 November 2016 to 31 October 2017</w:t>
            </w:r>
          </w:p>
        </w:tc>
      </w:tr>
      <w:tr w:rsidR="004F7A31" w:rsidRPr="009F16DF" w:rsidTr="00441455">
        <w:tc>
          <w:tcPr>
            <w:tcW w:w="2410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Darryl Mutzelburg</w:t>
            </w:r>
          </w:p>
        </w:tc>
        <w:tc>
          <w:tcPr>
            <w:tcW w:w="1418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Director</w:t>
            </w:r>
          </w:p>
        </w:tc>
        <w:tc>
          <w:tcPr>
            <w:tcW w:w="4961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One year commencing from 1 November 2016 to 31 October 2017</w:t>
            </w:r>
          </w:p>
        </w:tc>
      </w:tr>
      <w:tr w:rsidR="004F7A31" w:rsidRPr="009F16DF" w:rsidTr="00441455">
        <w:tc>
          <w:tcPr>
            <w:tcW w:w="2410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Penny Gillespie</w:t>
            </w:r>
          </w:p>
        </w:tc>
        <w:tc>
          <w:tcPr>
            <w:tcW w:w="1418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Director</w:t>
            </w:r>
          </w:p>
        </w:tc>
        <w:tc>
          <w:tcPr>
            <w:tcW w:w="4961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One year commencing from 1 November 2016 to 31 October 2017</w:t>
            </w:r>
          </w:p>
        </w:tc>
      </w:tr>
      <w:tr w:rsidR="004F7A31" w:rsidRPr="009F16DF" w:rsidTr="00441455">
        <w:tc>
          <w:tcPr>
            <w:tcW w:w="2410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Steve Ryan</w:t>
            </w:r>
          </w:p>
        </w:tc>
        <w:tc>
          <w:tcPr>
            <w:tcW w:w="1418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Director</w:t>
            </w:r>
          </w:p>
        </w:tc>
        <w:tc>
          <w:tcPr>
            <w:tcW w:w="4961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Three years commencing from 1 November 2016 to 31 October 2019</w:t>
            </w:r>
          </w:p>
        </w:tc>
      </w:tr>
      <w:tr w:rsidR="004F7A31" w:rsidRPr="009F16DF" w:rsidTr="00441455">
        <w:tc>
          <w:tcPr>
            <w:tcW w:w="2410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Sally Watson</w:t>
            </w:r>
          </w:p>
        </w:tc>
        <w:tc>
          <w:tcPr>
            <w:tcW w:w="1418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Director</w:t>
            </w:r>
          </w:p>
        </w:tc>
        <w:tc>
          <w:tcPr>
            <w:tcW w:w="4961" w:type="dxa"/>
            <w:shd w:val="clear" w:color="auto" w:fill="auto"/>
          </w:tcPr>
          <w:p w:rsidR="004F7A31" w:rsidRPr="009F16DF" w:rsidRDefault="004F7A31" w:rsidP="003F2531">
            <w:pPr>
              <w:spacing w:before="60" w:after="6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9F16DF">
              <w:rPr>
                <w:rFonts w:ascii="Arial" w:hAnsi="Arial" w:cs="Arial"/>
                <w:bCs/>
                <w:spacing w:val="-3"/>
                <w:sz w:val="22"/>
                <w:szCs w:val="22"/>
              </w:rPr>
              <w:t>Three years commencing from 1 November 2016 to 31 October 2019</w:t>
            </w:r>
          </w:p>
        </w:tc>
      </w:tr>
    </w:tbl>
    <w:p w:rsidR="0015230B" w:rsidRPr="00C07656" w:rsidRDefault="0015230B" w:rsidP="003F2531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  <w:r w:rsidR="003F2531">
        <w:rPr>
          <w:rFonts w:ascii="Arial" w:hAnsi="Arial" w:cs="Arial"/>
          <w:i/>
          <w:sz w:val="22"/>
          <w:szCs w:val="22"/>
          <w:u w:val="single"/>
        </w:rPr>
        <w:t>s</w:t>
      </w:r>
    </w:p>
    <w:p w:rsidR="0015230B" w:rsidRPr="00937A4A" w:rsidRDefault="0015230B" w:rsidP="003F2531">
      <w:pPr>
        <w:numPr>
          <w:ilvl w:val="0"/>
          <w:numId w:val="3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p w:rsidR="006F42CE" w:rsidRDefault="006F42CE" w:rsidP="0015230B">
      <w:pPr>
        <w:tabs>
          <w:tab w:val="left" w:pos="426"/>
        </w:tabs>
        <w:jc w:val="center"/>
      </w:pPr>
    </w:p>
    <w:sectPr w:rsidR="006F42CE" w:rsidSect="00DB651E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A8" w:rsidRDefault="00C175A8" w:rsidP="00BC20EB">
      <w:r>
        <w:separator/>
      </w:r>
    </w:p>
  </w:endnote>
  <w:endnote w:type="continuationSeparator" w:id="0">
    <w:p w:rsidR="00C175A8" w:rsidRDefault="00C175A8" w:rsidP="00BC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86" w:rsidRPr="004F7A31" w:rsidRDefault="009A2D86" w:rsidP="004F7A31">
    <w:pPr>
      <w:pStyle w:val="Footer"/>
      <w:tabs>
        <w:tab w:val="left" w:pos="3375"/>
      </w:tabs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A8" w:rsidRDefault="00C175A8" w:rsidP="00BC20EB">
      <w:r>
        <w:separator/>
      </w:r>
    </w:p>
  </w:footnote>
  <w:footnote w:type="continuationSeparator" w:id="0">
    <w:p w:rsidR="00C175A8" w:rsidRDefault="00C175A8" w:rsidP="00BC2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CE" w:rsidRPr="00937A4A" w:rsidRDefault="0015230B" w:rsidP="006F42C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6F42CE" w:rsidRPr="00937A4A" w:rsidRDefault="006F42CE" w:rsidP="006F42C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6F42CE" w:rsidRPr="00937A4A" w:rsidRDefault="0015230B" w:rsidP="006F42C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57886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6F42CE" w:rsidRDefault="0015230B" w:rsidP="006F42C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Appointments of the </w:t>
    </w:r>
    <w:r w:rsidR="00AA16E8">
      <w:rPr>
        <w:rFonts w:ascii="Arial" w:hAnsi="Arial" w:cs="Arial"/>
        <w:b/>
        <w:sz w:val="22"/>
        <w:szCs w:val="22"/>
        <w:u w:val="single"/>
      </w:rPr>
      <w:t>Chairperson</w:t>
    </w:r>
    <w:r w:rsidR="00F57886">
      <w:rPr>
        <w:rFonts w:ascii="Arial" w:hAnsi="Arial" w:cs="Arial"/>
        <w:b/>
        <w:sz w:val="22"/>
        <w:szCs w:val="22"/>
        <w:u w:val="single"/>
      </w:rPr>
      <w:t xml:space="preserve"> and Directors to the Board of the Residential Tenancies Authority</w:t>
    </w:r>
  </w:p>
  <w:p w:rsidR="006F42CE" w:rsidRDefault="0015230B" w:rsidP="006F42C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  <w:r w:rsidR="002B1658">
      <w:rPr>
        <w:rFonts w:ascii="Arial" w:hAnsi="Arial" w:cs="Arial"/>
        <w:b/>
        <w:sz w:val="22"/>
        <w:szCs w:val="22"/>
        <w:u w:val="single"/>
      </w:rPr>
      <w:t xml:space="preserve"> </w:t>
    </w:r>
  </w:p>
  <w:p w:rsidR="006F42CE" w:rsidRDefault="006F42CE" w:rsidP="006F42C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64EC4"/>
    <w:multiLevelType w:val="hybridMultilevel"/>
    <w:tmpl w:val="09AE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114EA4"/>
    <w:multiLevelType w:val="hybridMultilevel"/>
    <w:tmpl w:val="1C2AB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21D6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color w:val="auto"/>
        <w:sz w:val="24"/>
      </w:rPr>
    </w:lvl>
    <w:lvl w:ilvl="2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B7546"/>
    <w:multiLevelType w:val="hybridMultilevel"/>
    <w:tmpl w:val="AEF20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37799D"/>
    <w:multiLevelType w:val="hybridMultilevel"/>
    <w:tmpl w:val="4C7C8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D3BC88A8"/>
    <w:lvl w:ilvl="0" w:tplc="FE00E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EB"/>
    <w:rsid w:val="00001A9C"/>
    <w:rsid w:val="00017820"/>
    <w:rsid w:val="000300DC"/>
    <w:rsid w:val="0015230B"/>
    <w:rsid w:val="001B25A0"/>
    <w:rsid w:val="001F73AA"/>
    <w:rsid w:val="002747FB"/>
    <w:rsid w:val="002A41D9"/>
    <w:rsid w:val="002B1658"/>
    <w:rsid w:val="003160D6"/>
    <w:rsid w:val="0034465A"/>
    <w:rsid w:val="003C152B"/>
    <w:rsid w:val="003F2531"/>
    <w:rsid w:val="003F2F0B"/>
    <w:rsid w:val="00441455"/>
    <w:rsid w:val="0044715E"/>
    <w:rsid w:val="00471166"/>
    <w:rsid w:val="004F7A31"/>
    <w:rsid w:val="005025F8"/>
    <w:rsid w:val="00552C82"/>
    <w:rsid w:val="006776FA"/>
    <w:rsid w:val="00685436"/>
    <w:rsid w:val="006935D7"/>
    <w:rsid w:val="006B3375"/>
    <w:rsid w:val="006C7248"/>
    <w:rsid w:val="006F42CE"/>
    <w:rsid w:val="007D3BBB"/>
    <w:rsid w:val="007F581C"/>
    <w:rsid w:val="00810A3E"/>
    <w:rsid w:val="0081357E"/>
    <w:rsid w:val="00856F84"/>
    <w:rsid w:val="00860777"/>
    <w:rsid w:val="008F0D49"/>
    <w:rsid w:val="00994397"/>
    <w:rsid w:val="009A2D86"/>
    <w:rsid w:val="009B79EC"/>
    <w:rsid w:val="009F16DF"/>
    <w:rsid w:val="00A351AB"/>
    <w:rsid w:val="00A73531"/>
    <w:rsid w:val="00AA16E8"/>
    <w:rsid w:val="00AD0C8C"/>
    <w:rsid w:val="00BC20EB"/>
    <w:rsid w:val="00BE6718"/>
    <w:rsid w:val="00BF16CB"/>
    <w:rsid w:val="00C175A8"/>
    <w:rsid w:val="00C651DD"/>
    <w:rsid w:val="00C903F1"/>
    <w:rsid w:val="00C97D85"/>
    <w:rsid w:val="00CA7E4E"/>
    <w:rsid w:val="00D05B24"/>
    <w:rsid w:val="00D34AA9"/>
    <w:rsid w:val="00D71EC2"/>
    <w:rsid w:val="00DA66AE"/>
    <w:rsid w:val="00DB651E"/>
    <w:rsid w:val="00DC05C7"/>
    <w:rsid w:val="00DD250F"/>
    <w:rsid w:val="00DF749F"/>
    <w:rsid w:val="00E37A0D"/>
    <w:rsid w:val="00E732FF"/>
    <w:rsid w:val="00E819AC"/>
    <w:rsid w:val="00F127EB"/>
    <w:rsid w:val="00F23522"/>
    <w:rsid w:val="00F57886"/>
    <w:rsid w:val="00FA7818"/>
    <w:rsid w:val="00FF6099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E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0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20EB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BC20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C20EB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7E4E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CA7E4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F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49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F749F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4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749F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85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26FB-59F2-4C51-AD6F-B25F707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1053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Base>https://www.cabinet.qld.gov.au/documents/2016/Oct/ApptRTA/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2017-02-13T03:05:00Z</cp:lastPrinted>
  <dcterms:created xsi:type="dcterms:W3CDTF">2017-10-25T01:52:00Z</dcterms:created>
  <dcterms:modified xsi:type="dcterms:W3CDTF">2018-03-06T01:40:00Z</dcterms:modified>
  <cp:category>Significant_Appointments,Housing</cp:category>
</cp:coreProperties>
</file>